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9E9B" w14:textId="58086A5C" w:rsidR="00214ECC" w:rsidRPr="00214ECC" w:rsidRDefault="00214ECC" w:rsidP="00214ECC">
      <w:pPr>
        <w:jc w:val="center"/>
        <w:rPr>
          <w:rFonts w:ascii="Times New Roman" w:hAnsi="Times New Roman" w:cs="Times New Roman"/>
          <w:b/>
          <w:bCs/>
        </w:rPr>
      </w:pPr>
      <w:r w:rsidRPr="00214ECC">
        <w:rPr>
          <w:rFonts w:ascii="Times New Roman" w:hAnsi="Times New Roman" w:cs="Times New Roman"/>
          <w:b/>
          <w:bCs/>
        </w:rPr>
        <w:t>LORD WILLIAM BENTINCK’S RESOLUTIONS OF 1835</w:t>
      </w:r>
    </w:p>
    <w:p w14:paraId="50B93FDD" w14:textId="284FAA0A" w:rsidR="00214ECC" w:rsidRPr="00214ECC" w:rsidRDefault="00214ECC" w:rsidP="00214ECC">
      <w:pPr>
        <w:jc w:val="both"/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Lord William Bentinck’s Resolutions of 1835 were a landmark in the history of Indian education because they formally established English as the medium of instruction for higher education in India, shaping the entire colonial education policy thereafter.</w:t>
      </w:r>
      <w:r w:rsidRPr="00214ECC">
        <w:rPr>
          <w:rFonts w:ascii="Times New Roman" w:hAnsi="Times New Roman" w:cs="Times New Roman"/>
        </w:rPr>
        <w:t xml:space="preserve"> </w:t>
      </w:r>
      <w:r w:rsidRPr="00214ECC">
        <w:rPr>
          <w:rFonts w:ascii="Times New Roman" w:hAnsi="Times New Roman" w:cs="Times New Roman"/>
        </w:rPr>
        <w:t>They were issued on 7 March 1835, following the famous Macaulay’s Minute on Indian Education (2 February 1835), and were approved by the Governor-General in Council under Bentinck’s leadership.</w:t>
      </w:r>
    </w:p>
    <w:p w14:paraId="6DD3F0ED" w14:textId="4EAA177F" w:rsidR="00214ECC" w:rsidRPr="00214ECC" w:rsidRDefault="00214ECC" w:rsidP="00214ECC">
      <w:pPr>
        <w:rPr>
          <w:rFonts w:ascii="Times New Roman" w:hAnsi="Times New Roman" w:cs="Times New Roman"/>
        </w:rPr>
      </w:pPr>
    </w:p>
    <w:p w14:paraId="76CEA6A9" w14:textId="77777777" w:rsidR="00214ECC" w:rsidRPr="00214ECC" w:rsidRDefault="00214ECC" w:rsidP="00214ECC">
      <w:p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Background</w:t>
      </w:r>
    </w:p>
    <w:p w14:paraId="70DC9741" w14:textId="77777777" w:rsidR="00214ECC" w:rsidRPr="00214ECC" w:rsidRDefault="00214ECC" w:rsidP="00214E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Before 1835, the East India Company funded both Oriental learning (Persian, Arabic, Sanskrit) and limited Western education.</w:t>
      </w:r>
    </w:p>
    <w:p w14:paraId="59A38E2D" w14:textId="77777777" w:rsidR="00214ECC" w:rsidRPr="00214ECC" w:rsidRDefault="00214ECC" w:rsidP="00214E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There was a debate between Anglicists (supporters of Western, English-based education) and Classicists/Orientalists (supporters of traditional Indian learning in classical languages).</w:t>
      </w:r>
    </w:p>
    <w:p w14:paraId="72922E09" w14:textId="77777777" w:rsidR="00214ECC" w:rsidRPr="00214ECC" w:rsidRDefault="00214ECC" w:rsidP="00214E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 xml:space="preserve">Macaulay’s Minute strongly </w:t>
      </w:r>
      <w:proofErr w:type="spellStart"/>
      <w:r w:rsidRPr="00214ECC">
        <w:rPr>
          <w:rFonts w:ascii="Times New Roman" w:hAnsi="Times New Roman" w:cs="Times New Roman"/>
        </w:rPr>
        <w:t>favoured</w:t>
      </w:r>
      <w:proofErr w:type="spellEnd"/>
      <w:r w:rsidRPr="00214ECC">
        <w:rPr>
          <w:rFonts w:ascii="Times New Roman" w:hAnsi="Times New Roman" w:cs="Times New Roman"/>
        </w:rPr>
        <w:t xml:space="preserve"> English education to create “a class of persons Indian in blood and </w:t>
      </w:r>
      <w:proofErr w:type="spellStart"/>
      <w:r w:rsidRPr="00214ECC">
        <w:rPr>
          <w:rFonts w:ascii="Times New Roman" w:hAnsi="Times New Roman" w:cs="Times New Roman"/>
        </w:rPr>
        <w:t>colour</w:t>
      </w:r>
      <w:proofErr w:type="spellEnd"/>
      <w:r w:rsidRPr="00214ECC">
        <w:rPr>
          <w:rFonts w:ascii="Times New Roman" w:hAnsi="Times New Roman" w:cs="Times New Roman"/>
        </w:rPr>
        <w:t>, but English in taste, in opinions, in morals, and in intellect.”</w:t>
      </w:r>
    </w:p>
    <w:p w14:paraId="6CFCF95E" w14:textId="77777777" w:rsidR="00214ECC" w:rsidRPr="00214ECC" w:rsidRDefault="00214ECC" w:rsidP="00214E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 xml:space="preserve">Bentinck accepted Macaulay’s recommendations and </w:t>
      </w:r>
      <w:proofErr w:type="spellStart"/>
      <w:r w:rsidRPr="00214ECC">
        <w:rPr>
          <w:rFonts w:ascii="Times New Roman" w:hAnsi="Times New Roman" w:cs="Times New Roman"/>
        </w:rPr>
        <w:t>formalised</w:t>
      </w:r>
      <w:proofErr w:type="spellEnd"/>
      <w:r w:rsidRPr="00214ECC">
        <w:rPr>
          <w:rFonts w:ascii="Times New Roman" w:hAnsi="Times New Roman" w:cs="Times New Roman"/>
        </w:rPr>
        <w:t xml:space="preserve"> them through these Resolutions.</w:t>
      </w:r>
    </w:p>
    <w:p w14:paraId="3FF76CC8" w14:textId="342370C5" w:rsidR="00214ECC" w:rsidRPr="00214ECC" w:rsidRDefault="00214ECC" w:rsidP="00214ECC">
      <w:pPr>
        <w:rPr>
          <w:rFonts w:ascii="Times New Roman" w:hAnsi="Times New Roman" w:cs="Times New Roman"/>
        </w:rPr>
      </w:pPr>
    </w:p>
    <w:p w14:paraId="12150236" w14:textId="77777777" w:rsidR="00214ECC" w:rsidRPr="00214ECC" w:rsidRDefault="00214ECC" w:rsidP="00214ECC">
      <w:p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Main Clauses of the Resolutions (1835)</w:t>
      </w:r>
    </w:p>
    <w:p w14:paraId="4B028505" w14:textId="77777777" w:rsidR="00214ECC" w:rsidRPr="00214ECC" w:rsidRDefault="00214ECC" w:rsidP="00214EC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Medium of Instruction</w:t>
      </w:r>
    </w:p>
    <w:p w14:paraId="3AB5DB85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English was declared the medium of instruction for higher education in India.</w:t>
      </w:r>
    </w:p>
    <w:p w14:paraId="6DB35AD3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Government funds for education would be spent primarily on English-language education.</w:t>
      </w:r>
    </w:p>
    <w:p w14:paraId="14B044DE" w14:textId="77777777" w:rsidR="00214ECC" w:rsidRPr="00214ECC" w:rsidRDefault="00214ECC" w:rsidP="00214EC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Promotion of Western Knowledge</w:t>
      </w:r>
    </w:p>
    <w:p w14:paraId="494EC7FF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Aim shifted from promoting Oriental literature and science to promoting European literature, science, and philosophy.</w:t>
      </w:r>
    </w:p>
    <w:p w14:paraId="6E5B692F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Focus on subjects such as Western science, mathematics, philosophy, and history.</w:t>
      </w:r>
    </w:p>
    <w:p w14:paraId="43DF3153" w14:textId="77777777" w:rsidR="00214ECC" w:rsidRPr="00214ECC" w:rsidRDefault="00214ECC" w:rsidP="00214EC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End of Official Support for Oriental Institutions</w:t>
      </w:r>
    </w:p>
    <w:p w14:paraId="647423BA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No further public funding for the publication of books in Sanskrit, Arabic, or Persian.</w:t>
      </w:r>
    </w:p>
    <w:p w14:paraId="568B89F5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lastRenderedPageBreak/>
        <w:t>Existing Oriental institutions were to be gradually restructured or closed if they did not adopt English instruction.</w:t>
      </w:r>
    </w:p>
    <w:p w14:paraId="423871B7" w14:textId="77777777" w:rsidR="00214ECC" w:rsidRPr="00214ECC" w:rsidRDefault="00214ECC" w:rsidP="00214EC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Use of Funds</w:t>
      </w:r>
    </w:p>
    <w:p w14:paraId="0A6F6109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The limited resources available for education were to be concentrated on English-based instruction rather than divided between Oriental and Western systems.</w:t>
      </w:r>
    </w:p>
    <w:p w14:paraId="6DEA4ACB" w14:textId="77777777" w:rsidR="00214ECC" w:rsidRPr="00214ECC" w:rsidRDefault="00214ECC" w:rsidP="00214EC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Role of Vernacular</w:t>
      </w:r>
    </w:p>
    <w:p w14:paraId="5044343F" w14:textId="77777777" w:rsidR="00214ECC" w:rsidRPr="00214ECC" w:rsidRDefault="00214ECC" w:rsidP="00214ECC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Vernacular languages were to be used at the elementary level, but the ultimate aim was to prepare students for higher studies in English.</w:t>
      </w:r>
    </w:p>
    <w:p w14:paraId="6395414E" w14:textId="7F7B3168" w:rsidR="00214ECC" w:rsidRPr="00214ECC" w:rsidRDefault="00214ECC" w:rsidP="00214ECC">
      <w:p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pict w14:anchorId="01D9A4C9">
          <v:rect id="_x0000_i1045" style="width:468pt;height:1.5pt;mso-position-horizontal:absolute;mso-position-horizontal-relative:text;mso-position-vertical:absolute;mso-position-vertical-relative:text" o:hralign="center" o:hrstd="t" o:hrnoshade="t" o:hr="t" fillcolor="white [3212]" stroked="f"/>
        </w:pict>
      </w:r>
    </w:p>
    <w:p w14:paraId="6FF7472B" w14:textId="77777777" w:rsidR="00214ECC" w:rsidRPr="00214ECC" w:rsidRDefault="00214ECC" w:rsidP="00214ECC">
      <w:p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Significance</w:t>
      </w:r>
    </w:p>
    <w:p w14:paraId="7C7223CB" w14:textId="77777777" w:rsidR="00214ECC" w:rsidRPr="00214ECC" w:rsidRDefault="00214ECC" w:rsidP="00214EC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Marked the official triumph of the Anglicists over the Orientalists in the educational policy debate.</w:t>
      </w:r>
    </w:p>
    <w:p w14:paraId="41D42798" w14:textId="77777777" w:rsidR="00214ECC" w:rsidRPr="00214ECC" w:rsidRDefault="00214ECC" w:rsidP="00214EC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Laid the foundation of modern Western education in India.</w:t>
      </w:r>
    </w:p>
    <w:p w14:paraId="02FFCE03" w14:textId="77777777" w:rsidR="00214ECC" w:rsidRPr="00214ECC" w:rsidRDefault="00214ECC" w:rsidP="00214EC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>Created an educated class that became intermediaries between the British rulers and the Indian masses.</w:t>
      </w:r>
    </w:p>
    <w:p w14:paraId="2A8EE9C3" w14:textId="77777777" w:rsidR="00214ECC" w:rsidRPr="00214ECC" w:rsidRDefault="00214ECC" w:rsidP="00214EC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14ECC">
        <w:rPr>
          <w:rFonts w:ascii="Times New Roman" w:hAnsi="Times New Roman" w:cs="Times New Roman"/>
        </w:rPr>
        <w:t xml:space="preserve">Led to the gradual decline of traditional systems of learning in Sanskrit </w:t>
      </w:r>
      <w:proofErr w:type="spellStart"/>
      <w:r w:rsidRPr="00214ECC">
        <w:rPr>
          <w:rFonts w:ascii="Times New Roman" w:hAnsi="Times New Roman" w:cs="Times New Roman"/>
        </w:rPr>
        <w:t>Pathshalas</w:t>
      </w:r>
      <w:proofErr w:type="spellEnd"/>
      <w:r w:rsidRPr="00214ECC">
        <w:rPr>
          <w:rFonts w:ascii="Times New Roman" w:hAnsi="Times New Roman" w:cs="Times New Roman"/>
        </w:rPr>
        <w:t xml:space="preserve"> and Arabic/Persian Madrasas.</w:t>
      </w:r>
    </w:p>
    <w:p w14:paraId="584A19DE" w14:textId="77777777" w:rsidR="005E66CB" w:rsidRPr="00214ECC" w:rsidRDefault="005E66CB">
      <w:pPr>
        <w:rPr>
          <w:rFonts w:ascii="Times New Roman" w:hAnsi="Times New Roman" w:cs="Times New Roman"/>
        </w:rPr>
      </w:pPr>
    </w:p>
    <w:sectPr w:rsidR="005E66CB" w:rsidRPr="00214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213EE"/>
    <w:multiLevelType w:val="multilevel"/>
    <w:tmpl w:val="B0BA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001A6"/>
    <w:multiLevelType w:val="multilevel"/>
    <w:tmpl w:val="E2C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828BB"/>
    <w:multiLevelType w:val="multilevel"/>
    <w:tmpl w:val="90D6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543694">
    <w:abstractNumId w:val="1"/>
  </w:num>
  <w:num w:numId="2" w16cid:durableId="1474298484">
    <w:abstractNumId w:val="2"/>
  </w:num>
  <w:num w:numId="3" w16cid:durableId="116366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5E"/>
    <w:rsid w:val="00095E95"/>
    <w:rsid w:val="00214ECC"/>
    <w:rsid w:val="00446D1F"/>
    <w:rsid w:val="005E66CB"/>
    <w:rsid w:val="00907938"/>
    <w:rsid w:val="00942F3F"/>
    <w:rsid w:val="00CE045E"/>
    <w:rsid w:val="00DC6BF2"/>
    <w:rsid w:val="00E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8B8E"/>
  <w15:chartTrackingRefBased/>
  <w15:docId w15:val="{592F0580-9B0A-4BFB-9289-416A8B10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4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4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5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5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45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5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Nazrul Islam Barbhuyan</dc:creator>
  <cp:keywords/>
  <dc:description/>
  <cp:lastModifiedBy>Dr Nazrul Islam Barbhuyan</cp:lastModifiedBy>
  <cp:revision>2</cp:revision>
  <dcterms:created xsi:type="dcterms:W3CDTF">2025-08-14T08:32:00Z</dcterms:created>
  <dcterms:modified xsi:type="dcterms:W3CDTF">2025-08-14T08:34:00Z</dcterms:modified>
</cp:coreProperties>
</file>